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A427DE" w:rsidTr="00216C39">
        <w:tc>
          <w:tcPr>
            <w:tcW w:w="4785" w:type="dxa"/>
          </w:tcPr>
          <w:p w:rsidR="00A15A8B" w:rsidRDefault="00A427DE" w:rsidP="003B72B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A15A8B">
              <w:rPr>
                <w:rFonts w:hint="eastAsia"/>
                <w:b/>
                <w:bCs/>
                <w:sz w:val="26"/>
                <w:szCs w:val="26"/>
              </w:rPr>
              <w:t xml:space="preserve">일부 업종 기업의 산재보험료 </w:t>
            </w:r>
          </w:p>
          <w:p w:rsidR="00A427DE" w:rsidRPr="00A15A8B" w:rsidRDefault="00A427DE" w:rsidP="003B72B5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A15A8B">
              <w:rPr>
                <w:rFonts w:hint="eastAsia"/>
                <w:b/>
                <w:bCs/>
                <w:sz w:val="26"/>
                <w:szCs w:val="26"/>
              </w:rPr>
              <w:t>납부방법</w:t>
            </w:r>
          </w:p>
          <w:p w:rsidR="00A427DE" w:rsidRDefault="00A427DE" w:rsidP="003B72B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r w:rsidRPr="003B72B5">
              <w:rPr>
                <w:rFonts w:hint="eastAsia"/>
                <w:sz w:val="21"/>
                <w:szCs w:val="21"/>
              </w:rPr>
              <w:t xml:space="preserve">인력자원 및 </w:t>
            </w:r>
            <w:proofErr w:type="spellStart"/>
            <w:r w:rsidRPr="003B72B5">
              <w:rPr>
                <w:rFonts w:hint="eastAsia"/>
                <w:sz w:val="21"/>
                <w:szCs w:val="21"/>
              </w:rPr>
              <w:t>사회보장부</w:t>
            </w:r>
            <w:proofErr w:type="spellEnd"/>
            <w:r w:rsidRPr="003B72B5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3B72B5">
              <w:rPr>
                <w:rFonts w:hint="eastAsia"/>
                <w:sz w:val="21"/>
                <w:szCs w:val="21"/>
              </w:rPr>
              <w:t>령</w:t>
            </w:r>
            <w:proofErr w:type="spellEnd"/>
            <w:r w:rsidRPr="003B72B5">
              <w:rPr>
                <w:rFonts w:hint="eastAsia"/>
                <w:sz w:val="21"/>
                <w:szCs w:val="21"/>
              </w:rPr>
              <w:t xml:space="preserve"> 제10호</w:t>
            </w:r>
          </w:p>
          <w:p w:rsidR="00A15A8B" w:rsidRPr="003B72B5" w:rsidRDefault="00A15A8B" w:rsidP="003B72B5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A427DE" w:rsidRDefault="00A427DE" w:rsidP="003B72B5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3B72B5">
              <w:rPr>
                <w:rFonts w:hint="eastAsia"/>
                <w:sz w:val="21"/>
                <w:szCs w:val="21"/>
              </w:rPr>
              <w:t>《일부 업종 기업의 산재보험료 납부방법》이 인력자원 및 사회보장부의 제56차 업무회의에서 통과되어 이에 공표하며, 2011년 1월 1일부터 시행한다.</w:t>
            </w:r>
          </w:p>
          <w:p w:rsidR="00A15A8B" w:rsidRPr="003B72B5" w:rsidRDefault="00A15A8B" w:rsidP="003B72B5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rPr>
                <w:rFonts w:hint="eastAsia"/>
                <w:sz w:val="21"/>
                <w:szCs w:val="21"/>
              </w:rPr>
            </w:pPr>
          </w:p>
          <w:p w:rsidR="00A427DE" w:rsidRPr="003B72B5" w:rsidRDefault="00A427DE" w:rsidP="00A15A8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3B72B5">
              <w:rPr>
                <w:rFonts w:hint="eastAsia"/>
                <w:sz w:val="21"/>
                <w:szCs w:val="21"/>
              </w:rPr>
              <w:t xml:space="preserve">부장 </w:t>
            </w:r>
            <w:proofErr w:type="spellStart"/>
            <w:r w:rsidRPr="003B72B5">
              <w:rPr>
                <w:rFonts w:hint="eastAsia"/>
                <w:sz w:val="21"/>
                <w:szCs w:val="21"/>
              </w:rPr>
              <w:t>尹蔚民</w:t>
            </w:r>
            <w:proofErr w:type="spellEnd"/>
          </w:p>
          <w:p w:rsidR="00A427DE" w:rsidRDefault="00A427DE" w:rsidP="00A15A8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  <w:r w:rsidRPr="003B72B5">
              <w:rPr>
                <w:rFonts w:hint="eastAsia"/>
                <w:sz w:val="21"/>
                <w:szCs w:val="21"/>
              </w:rPr>
              <w:t>2010년 12월 31일</w:t>
            </w:r>
          </w:p>
          <w:p w:rsidR="00A15A8B" w:rsidRDefault="00A15A8B" w:rsidP="00A15A8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</w:p>
          <w:p w:rsidR="00A15A8B" w:rsidRPr="003B72B5" w:rsidRDefault="00A15A8B" w:rsidP="00A15A8B">
            <w:pPr>
              <w:pStyle w:val="a6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int="eastAsia"/>
                <w:sz w:val="21"/>
                <w:szCs w:val="21"/>
              </w:rPr>
            </w:pP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제1조 </w:t>
            </w:r>
            <w:r w:rsidRPr="003B72B5">
              <w:rPr>
                <w:rFonts w:hAnsi="한컴바탕" w:hint="eastAsia"/>
              </w:rPr>
              <w:t>《산업재해 보험조례》 제10조 제3항에 의거 이 방법을 제정한다.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제2조 </w:t>
            </w:r>
            <w:r w:rsidRPr="003B72B5">
              <w:rPr>
                <w:rFonts w:hAnsi="한컴바탕" w:hint="eastAsia"/>
              </w:rPr>
              <w:t>이 방법에서 일부 업종 기업이라 함은 건축, 서비스, 광산 등 업종 중 임금총액에 따라 산재보험료를 납부하기 어려운 건축시공기업, 소형 서비스기업, 소형 광산기업 등을 가리킨다.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</w:rPr>
              <w:t xml:space="preserve">전 항에서 지칭하는 소형 서비스기업, 소형 광산기업의 구분기준은 《중소기업 기준 잠정규정》(國經貿中小企 [2003] 143호)을 참조 집행한다. 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제3조 </w:t>
            </w:r>
            <w:r w:rsidRPr="003B72B5">
              <w:rPr>
                <w:rFonts w:hAnsi="한컴바탕" w:hint="eastAsia"/>
              </w:rPr>
              <w:t>건축시공기업은 건축시공 프로젝트를 단위로 프로젝트공사 총 건설비의 일정 비율에 따라 산재보험료를 납부할 수 있다.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제4조 </w:t>
            </w:r>
            <w:r w:rsidRPr="003B72B5">
              <w:rPr>
                <w:rFonts w:hAnsi="한컴바탕" w:hint="eastAsia"/>
              </w:rPr>
              <w:t>상업무역, 요식, 숙박, 미용미발, 목욕탕 및 문화오락 등 소형 서비스기업, 그리고 노동자를 채용하는 개인사업자는 영업면적에 따라 보험가입 인수를 확정하여 소재 통합지역의 직전 연도 종업원 월 평균임금의 일정 비율과 상응하는 납부비율에 따라 산재보험료를 납부하거나 또는 영업면적의 일정 비율에 따라 산재보험료를 납부할 수 있다.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제5조 </w:t>
            </w:r>
            <w:r w:rsidRPr="003B72B5">
              <w:rPr>
                <w:rFonts w:hAnsi="한컴바탕" w:hint="eastAsia"/>
              </w:rPr>
              <w:t xml:space="preserve">소형 광산기업은 </w:t>
            </w:r>
            <w:proofErr w:type="spellStart"/>
            <w:r w:rsidRPr="003B72B5">
              <w:rPr>
                <w:rFonts w:hAnsi="한컴바탕" w:hint="eastAsia"/>
              </w:rPr>
              <w:t>총생산량</w:t>
            </w:r>
            <w:proofErr w:type="spellEnd"/>
            <w:r w:rsidRPr="003B72B5">
              <w:rPr>
                <w:rFonts w:hAnsi="한컴바탕" w:hint="eastAsia"/>
              </w:rPr>
              <w:t>, 톤당 임금 및 상응하는 납부비율에 따라 산재보험료를 납부할 수 있다.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제6조 </w:t>
            </w:r>
            <w:r w:rsidRPr="003B72B5">
              <w:rPr>
                <w:rFonts w:hAnsi="한컴바탕" w:hint="eastAsia"/>
              </w:rPr>
              <w:t>이 방법 중에 열거한, 일부 업종 기업이 보험료를 납부하는 구체적인 계산방법은 성급 사회보험행정부서가 본 지역의 실제 상황에 따라 확정한다.</w:t>
            </w:r>
          </w:p>
          <w:p w:rsidR="00A427DE" w:rsidRPr="003B72B5" w:rsidRDefault="00A427DE" w:rsidP="003B72B5">
            <w:pPr>
              <w:pStyle w:val="MS"/>
              <w:wordWrap w:val="0"/>
              <w:autoSpaceDN w:val="0"/>
              <w:spacing w:line="290" w:lineRule="atLeast"/>
              <w:ind w:firstLineChars="200" w:firstLine="412"/>
              <w:rPr>
                <w:rFonts w:hAnsi="한컴바탕" w:hint="eastAsia"/>
              </w:rPr>
            </w:pPr>
            <w:r w:rsidRPr="003B72B5">
              <w:rPr>
                <w:rFonts w:hAnsi="한컴바탕" w:hint="eastAsia"/>
                <w:b/>
                <w:bCs/>
              </w:rPr>
              <w:t xml:space="preserve">제7조 </w:t>
            </w:r>
            <w:r w:rsidRPr="003B72B5">
              <w:rPr>
                <w:rFonts w:hAnsi="한컴바탕" w:hint="eastAsia"/>
              </w:rPr>
              <w:t>이 방법은 2011년 1월 1일부터 시행한다.</w:t>
            </w:r>
          </w:p>
          <w:p w:rsidR="00A427DE" w:rsidRPr="003B72B5" w:rsidRDefault="00A427DE" w:rsidP="003B72B5">
            <w:pPr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A427DE" w:rsidRPr="005B2F75" w:rsidRDefault="00A427DE" w:rsidP="005B2F75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A15A8B" w:rsidRDefault="009D625F" w:rsidP="005B2F75">
            <w:pPr>
              <w:wordWrap/>
              <w:snapToGrid w:val="0"/>
              <w:spacing w:line="290" w:lineRule="atLeast"/>
              <w:jc w:val="center"/>
              <w:rPr>
                <w:rFonts w:ascii="SimSun" w:hAnsi="SimSun" w:cs="새굴림" w:hint="eastAsia"/>
                <w:b/>
                <w:sz w:val="26"/>
                <w:szCs w:val="26"/>
              </w:rPr>
            </w:pPr>
            <w:r w:rsidRPr="00A15A8B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部分行</w:t>
            </w:r>
            <w:r w:rsidRPr="00A15A8B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业企业工伤保险费</w:t>
            </w:r>
          </w:p>
          <w:p w:rsidR="009D625F" w:rsidRPr="00A15A8B" w:rsidRDefault="009D625F" w:rsidP="005B2F7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b/>
                <w:sz w:val="26"/>
                <w:szCs w:val="26"/>
                <w:lang w:eastAsia="zh-CN"/>
              </w:rPr>
            </w:pPr>
            <w:r w:rsidRPr="00A15A8B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缴纳办法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人力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资源和社会保障部令第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《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部分行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业企业工伤保险费缴纳办法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已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经人力资源和社会保障部第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56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次部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务会议通过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现予公布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1"/>
              </w:smartTagP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年</w:t>
              </w: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月</w:t>
              </w: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日起</w:t>
              </w:r>
            </w:smartTag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施行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216C39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           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部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长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尹蔚民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　　　　　　　　　　　　　　　　　　　　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二</w:t>
              </w:r>
              <w:r w:rsidRPr="003B72B5">
                <w:rPr>
                  <w:rFonts w:ascii="SimSun" w:eastAsia="SimSun" w:hAnsi="SimSun" w:cs="SimSun" w:hint="eastAsia"/>
                  <w:sz w:val="21"/>
                  <w:szCs w:val="21"/>
                  <w:lang w:eastAsia="zh-CN"/>
                </w:rPr>
                <w:t>〇一〇年十二月三十一日</w:t>
              </w:r>
            </w:smartTag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第一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根据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伤保险条例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第十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条第三款的授权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制定本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办法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第二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办法所称的部分行业企业是指建筑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服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矿山等行业中难以直接按照工资总额计算缴纳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工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伤保险费的建筑施工企业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小型服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务企业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小型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矿山企业等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前款所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称小型服务企业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小型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矿山企业的划分标准可以参照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中小企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业标准暂行规定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国经贸中小企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〔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2003〕143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执行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216C39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pacing w:val="-4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216C39">
              <w:rPr>
                <w:rFonts w:ascii="SimSun" w:eastAsia="SimSun" w:hAnsi="SimSun" w:cs="바탕" w:hint="eastAsia"/>
                <w:b/>
                <w:spacing w:val="-4"/>
                <w:sz w:val="21"/>
                <w:szCs w:val="21"/>
                <w:lang w:eastAsia="zh-CN"/>
              </w:rPr>
              <w:t>第三</w:t>
            </w:r>
            <w:r w:rsidRPr="00216C39">
              <w:rPr>
                <w:rFonts w:ascii="SimSun" w:eastAsia="SimSun" w:hAnsi="SimSun" w:cs="새굴림" w:hint="eastAsia"/>
                <w:b/>
                <w:spacing w:val="-4"/>
                <w:sz w:val="21"/>
                <w:szCs w:val="21"/>
                <w:lang w:eastAsia="zh-CN"/>
              </w:rPr>
              <w:t>条</w:t>
            </w:r>
            <w:r w:rsidRPr="00216C39">
              <w:rPr>
                <w:rFonts w:ascii="SimSun" w:eastAsia="SimSun" w:hAnsi="SimSun" w:hint="eastAsia"/>
                <w:spacing w:val="-4"/>
                <w:sz w:val="21"/>
                <w:szCs w:val="21"/>
                <w:lang w:eastAsia="zh-CN"/>
              </w:rPr>
              <w:t xml:space="preserve">　</w:t>
            </w:r>
            <w:r w:rsidRPr="00216C39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建筑施工企</w:t>
            </w:r>
            <w:r w:rsidRPr="00216C39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业可以实行以建筑施工项目为单位</w:t>
            </w:r>
            <w:r w:rsidRPr="00216C39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，</w:t>
            </w:r>
            <w:r w:rsidRPr="00216C39">
              <w:rPr>
                <w:rFonts w:ascii="SimSun" w:eastAsia="SimSun" w:hAnsi="SimSun" w:cs="바탕" w:hint="eastAsia"/>
                <w:spacing w:val="-4"/>
                <w:sz w:val="21"/>
                <w:szCs w:val="21"/>
                <w:lang w:eastAsia="zh-CN"/>
              </w:rPr>
              <w:t>按照</w:t>
            </w:r>
            <w:r w:rsidRPr="00216C39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项目工程总造价的一定比例</w:t>
            </w:r>
            <w:r w:rsidRPr="00216C39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，</w:t>
            </w:r>
            <w:r w:rsidRPr="00216C39">
              <w:rPr>
                <w:rFonts w:ascii="SimSun" w:eastAsia="SimSun" w:hAnsi="SimSun" w:cs="새굴림" w:hint="eastAsia"/>
                <w:spacing w:val="-4"/>
                <w:sz w:val="21"/>
                <w:szCs w:val="21"/>
                <w:lang w:eastAsia="zh-CN"/>
              </w:rPr>
              <w:t>计算缴纳工伤保险费</w:t>
            </w:r>
            <w:r w:rsidRPr="00216C39">
              <w:rPr>
                <w:rFonts w:ascii="SimSun" w:eastAsia="SimSun" w:hAnsi="SimSun" w:cs="맑은 고딕" w:hint="eastAsia"/>
                <w:spacing w:val="-4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第四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商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贸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餐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饮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住宿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美容美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洗浴以及文体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娱乐等小型服务业企业以及有雇工的个体工商户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可以按照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营业面积的大小核定应参保人数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按照所在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统筹地区上一年度职工月平均工资的一定比例和相应的费率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计算缴纳工伤保险费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；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也可以按照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营业额的一定比例计算缴纳工伤保险费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第五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小型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矿山企业可以按照总产量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吨矿工资含量和相应的费率计算缴纳工伤保险费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第六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办法中所列部分行业企业工伤保险费缴纳的具体计算办法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由省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级社会保险行政部门根据本地区实际情况确定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9D625F" w:rsidRPr="003B72B5" w:rsidRDefault="009D625F" w:rsidP="005B2F7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3B72B5">
              <w:rPr>
                <w:rFonts w:ascii="SimSun" w:eastAsia="SimSun" w:hAnsi="SimSun" w:cs="바탕" w:hint="eastAsia"/>
                <w:b/>
                <w:sz w:val="21"/>
                <w:szCs w:val="21"/>
                <w:lang w:eastAsia="zh-CN"/>
              </w:rPr>
              <w:t>第七</w:t>
            </w:r>
            <w:r w:rsidRPr="003B72B5">
              <w:rPr>
                <w:rFonts w:ascii="SimSun" w:eastAsia="SimSun" w:hAnsi="SimSun" w:cs="새굴림" w:hint="eastAsia"/>
                <w:b/>
                <w:sz w:val="21"/>
                <w:szCs w:val="21"/>
                <w:lang w:eastAsia="zh-CN"/>
              </w:rPr>
              <w:t>条</w:t>
            </w:r>
            <w:r w:rsidRPr="003B72B5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</w:t>
            </w:r>
            <w:r w:rsidRPr="003B72B5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办法自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1"/>
              </w:smartTagP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2011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年</w:t>
              </w: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月</w:t>
              </w:r>
              <w:r w:rsidRPr="003B72B5">
                <w:rPr>
                  <w:rFonts w:ascii="SimSun" w:eastAsia="SimSun" w:hAnsi="SimSun" w:hint="eastAsia"/>
                  <w:sz w:val="21"/>
                  <w:szCs w:val="21"/>
                  <w:lang w:eastAsia="zh-CN"/>
                </w:rPr>
                <w:t>1</w:t>
              </w:r>
              <w:r w:rsidRPr="003B72B5">
                <w:rPr>
                  <w:rFonts w:ascii="SimSun" w:eastAsia="SimSun" w:hAnsi="SimSun" w:cs="바탕" w:hint="eastAsia"/>
                  <w:sz w:val="21"/>
                  <w:szCs w:val="21"/>
                  <w:lang w:eastAsia="zh-CN"/>
                </w:rPr>
                <w:t>日起</w:t>
              </w:r>
            </w:smartTag>
            <w:r w:rsidRPr="003B72B5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施行</w:t>
            </w:r>
            <w:r w:rsidRPr="003B72B5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A427DE" w:rsidRPr="003B72B5" w:rsidRDefault="00A427DE" w:rsidP="005B2F75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3E520C" w:rsidRDefault="003E520C">
      <w:pPr>
        <w:rPr>
          <w:rFonts w:hint="eastAsia"/>
        </w:rPr>
      </w:pPr>
    </w:p>
    <w:sectPr w:rsidR="003E520C" w:rsidSect="00A427DE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D0" w:rsidRDefault="00786BD0" w:rsidP="00A427DE">
      <w:r>
        <w:separator/>
      </w:r>
    </w:p>
  </w:endnote>
  <w:endnote w:type="continuationSeparator" w:id="0">
    <w:p w:rsidR="00786BD0" w:rsidRDefault="00786BD0" w:rsidP="00A4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D0" w:rsidRDefault="00786BD0" w:rsidP="00A427DE">
      <w:r>
        <w:separator/>
      </w:r>
    </w:p>
  </w:footnote>
  <w:footnote w:type="continuationSeparator" w:id="0">
    <w:p w:rsidR="00786BD0" w:rsidRDefault="00786BD0" w:rsidP="00A4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7DE"/>
    <w:rsid w:val="00216C39"/>
    <w:rsid w:val="003B72B5"/>
    <w:rsid w:val="003E520C"/>
    <w:rsid w:val="005B2F75"/>
    <w:rsid w:val="00786BD0"/>
    <w:rsid w:val="009D625F"/>
    <w:rsid w:val="00A15A8B"/>
    <w:rsid w:val="00A4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0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7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427DE"/>
  </w:style>
  <w:style w:type="paragraph" w:styleId="a4">
    <w:name w:val="footer"/>
    <w:basedOn w:val="a"/>
    <w:link w:val="Char0"/>
    <w:uiPriority w:val="99"/>
    <w:semiHidden/>
    <w:unhideWhenUsed/>
    <w:rsid w:val="00A427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427DE"/>
  </w:style>
  <w:style w:type="table" w:styleId="a5">
    <w:name w:val="Table Grid"/>
    <w:basedOn w:val="a1"/>
    <w:uiPriority w:val="59"/>
    <w:rsid w:val="00A4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A427DE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A427DE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2011-02-14T01:56:00Z</dcterms:created>
  <dcterms:modified xsi:type="dcterms:W3CDTF">2011-02-14T01:59:00Z</dcterms:modified>
</cp:coreProperties>
</file>